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2F3A5" w14:textId="77777777" w:rsidR="007A68B5" w:rsidRPr="006F4E39" w:rsidRDefault="007A68B5" w:rsidP="007A68B5">
      <w:pPr>
        <w:spacing w:before="120" w:after="120"/>
        <w:jc w:val="right"/>
        <w:rPr>
          <w:rFonts w:ascii="Century Gothic" w:hAnsi="Century Gothic"/>
          <w:b/>
          <w:bCs/>
          <w:sz w:val="20"/>
          <w:szCs w:val="20"/>
        </w:rPr>
      </w:pPr>
      <w:r w:rsidRPr="006F4E39">
        <w:rPr>
          <w:rFonts w:ascii="Century Gothic" w:hAnsi="Century Gothic"/>
          <w:b/>
          <w:bCs/>
          <w:sz w:val="20"/>
          <w:szCs w:val="20"/>
        </w:rPr>
        <w:t>Załącznik nr. 3</w:t>
      </w:r>
    </w:p>
    <w:p w14:paraId="7A39F288" w14:textId="77777777" w:rsidR="007A68B5" w:rsidRPr="006F4E39" w:rsidRDefault="007A68B5" w:rsidP="007A68B5">
      <w:pPr>
        <w:spacing w:before="12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6F4E39">
        <w:rPr>
          <w:rFonts w:ascii="Century Gothic" w:hAnsi="Century Gothic"/>
          <w:b/>
          <w:bCs/>
          <w:sz w:val="20"/>
          <w:szCs w:val="20"/>
        </w:rPr>
        <w:t xml:space="preserve">Wykaz części i materiałów eksploatacyjnych wraz </w:t>
      </w:r>
      <w:r>
        <w:rPr>
          <w:rFonts w:ascii="Century Gothic" w:hAnsi="Century Gothic"/>
          <w:b/>
          <w:bCs/>
          <w:sz w:val="20"/>
          <w:szCs w:val="20"/>
        </w:rPr>
        <w:t xml:space="preserve">z </w:t>
      </w:r>
      <w:r w:rsidRPr="006F4E39">
        <w:rPr>
          <w:rFonts w:ascii="Century Gothic" w:hAnsi="Century Gothic"/>
          <w:b/>
          <w:bCs/>
          <w:sz w:val="20"/>
          <w:szCs w:val="20"/>
        </w:rPr>
        <w:t>aparaturą pomiarową</w:t>
      </w:r>
    </w:p>
    <w:p w14:paraId="1C1A3356" w14:textId="77777777" w:rsidR="007A68B5" w:rsidRPr="006F4E39" w:rsidRDefault="007A68B5" w:rsidP="007A68B5">
      <w:pPr>
        <w:spacing w:before="120" w:after="120"/>
        <w:rPr>
          <w:rFonts w:ascii="Century Gothic" w:hAnsi="Century Gothic"/>
          <w:sz w:val="20"/>
          <w:szCs w:val="20"/>
        </w:rPr>
      </w:pPr>
    </w:p>
    <w:p w14:paraId="34301B52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Materiały eksploatacyjne, których utrzymywanie zapasu wymagane jest od Wykonawcy w okresie trwania umowy na potrzeby świadczenia usług ochrony katodowej:</w:t>
      </w:r>
    </w:p>
    <w:p w14:paraId="3494F1A8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Słupki pomiarowe wraz </w:t>
      </w:r>
      <w:r>
        <w:rPr>
          <w:rFonts w:ascii="Century Gothic" w:hAnsi="Century Gothic"/>
          <w:sz w:val="20"/>
          <w:szCs w:val="20"/>
        </w:rPr>
        <w:t xml:space="preserve">z </w:t>
      </w:r>
      <w:r w:rsidRPr="006F4E39">
        <w:rPr>
          <w:rFonts w:ascii="Century Gothic" w:hAnsi="Century Gothic"/>
          <w:sz w:val="20"/>
          <w:szCs w:val="20"/>
        </w:rPr>
        <w:t>tabliczkami zaciskowymi do słupka</w:t>
      </w:r>
    </w:p>
    <w:p w14:paraId="51077DD7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Rezerwowe źródła polaryzacji (w razie potrzeby podmiany na uszkodzone urządzenie)</w:t>
      </w:r>
    </w:p>
    <w:p w14:paraId="277389B5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Wyłączniki instalacyjne</w:t>
      </w:r>
    </w:p>
    <w:p w14:paraId="1676AE1D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Ochronniki przeciwprzepięciowe</w:t>
      </w:r>
    </w:p>
    <w:p w14:paraId="62023B57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Bezpieczniki do źródeł polaryzacji</w:t>
      </w:r>
    </w:p>
    <w:p w14:paraId="0AAB6A46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Bezpieczniki instalacyjne elektryczne</w:t>
      </w:r>
    </w:p>
    <w:p w14:paraId="6D18C7F5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Gniazda bezpieczników instalacyjnych elektrycznych 25A</w:t>
      </w:r>
    </w:p>
    <w:p w14:paraId="6ABBFB9C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Gniazda instalacyjne 230V, 2P+Z bryzgoszczelne, natynkowe</w:t>
      </w:r>
    </w:p>
    <w:p w14:paraId="48B08862" w14:textId="77777777" w:rsidR="007A68B5" w:rsidRPr="006F4E39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Przyłącze sieciowe (przewód z wtyczką)</w:t>
      </w:r>
    </w:p>
    <w:p w14:paraId="376CE2FB" w14:textId="1F50C2DC" w:rsidR="007A68B5" w:rsidRDefault="007A68B5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Materiały pomocnicze: taśmy izolacyjne, oznaczniki kablowe, listwy zaciskowe, śruby, nakrętki, podkładki, opaski zaciskowe itp.</w:t>
      </w:r>
    </w:p>
    <w:p w14:paraId="78503ECC" w14:textId="508F6731" w:rsidR="00CC56F7" w:rsidRPr="006F4E39" w:rsidRDefault="00CC56F7" w:rsidP="007A68B5">
      <w:pPr>
        <w:pStyle w:val="Akapitzlist"/>
        <w:numPr>
          <w:ilvl w:val="0"/>
          <w:numId w:val="2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</w:p>
    <w:p w14:paraId="674C86AE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Materiały eksploatacyjne wyszczególnione w p.1 stanowią własność Wykonawcy 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>i nie będą podlegały wykupieniu przez Zamawiającego po zakończeniu umowy</w:t>
      </w:r>
      <w:r>
        <w:rPr>
          <w:rFonts w:ascii="Century Gothic" w:hAnsi="Century Gothic"/>
          <w:sz w:val="20"/>
          <w:szCs w:val="20"/>
        </w:rPr>
        <w:t>.</w:t>
      </w:r>
    </w:p>
    <w:p w14:paraId="7DD7B6B2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Wykorzystanie materiałów eksploatacyjnych musi posiadać swoje odzwierciedlenie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 xml:space="preserve"> w protokołach</w:t>
      </w:r>
      <w:r>
        <w:rPr>
          <w:rFonts w:ascii="Century Gothic" w:hAnsi="Century Gothic"/>
          <w:sz w:val="20"/>
          <w:szCs w:val="20"/>
        </w:rPr>
        <w:t>.</w:t>
      </w:r>
    </w:p>
    <w:p w14:paraId="28FA53D5" w14:textId="5A1A9F84" w:rsidR="00FB4EBE" w:rsidRDefault="007A68B5" w:rsidP="00FB4EBE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Podmiana uszkodzonego źródła polaryzacji na sprawne musi być uzgodniona 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>z Zamawiającym</w:t>
      </w:r>
      <w:r w:rsidR="00FB4EBE">
        <w:rPr>
          <w:rFonts w:ascii="Century Gothic" w:hAnsi="Century Gothic"/>
          <w:sz w:val="20"/>
          <w:szCs w:val="20"/>
        </w:rPr>
        <w:t>. W związku z tym Wykonawca powinien posiadać urządzenia o następujących zakresach prądowych:</w:t>
      </w:r>
    </w:p>
    <w:p w14:paraId="79EE4F81" w14:textId="68D0183B" w:rsidR="00FB4EBE" w:rsidRDefault="00FB4EBE" w:rsidP="00FB4EBE">
      <w:pPr>
        <w:pStyle w:val="Akapitzlist"/>
        <w:numPr>
          <w:ilvl w:val="1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Prąd: 0-10A , Napięcie 0-30V – 1 szt.</w:t>
      </w:r>
    </w:p>
    <w:p w14:paraId="6AF4F442" w14:textId="5EBC78C8" w:rsidR="00FB4EBE" w:rsidRDefault="00FB4EBE" w:rsidP="00FB4EBE">
      <w:pPr>
        <w:pStyle w:val="Akapitzlist"/>
        <w:numPr>
          <w:ilvl w:val="1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Prąd: 0 -1A , Napięcie 0-30 V – 1 szt.</w:t>
      </w:r>
    </w:p>
    <w:p w14:paraId="46E76D44" w14:textId="3BA12AB4" w:rsidR="00FB4EBE" w:rsidRPr="00FB4EBE" w:rsidRDefault="00FB4EBE" w:rsidP="00FB4EBE">
      <w:pPr>
        <w:pStyle w:val="Akapitzlist"/>
        <w:numPr>
          <w:ilvl w:val="1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Prąd 0-300mA, Napięcie  0- 30V- 1 szt.</w:t>
      </w:r>
    </w:p>
    <w:p w14:paraId="34C784D0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Do wykonywania pomiarów eksploatacyjnych Wykonawca będzie musiał posiadać minimalną ilość sprzętu pomiarowego wg. poniższego zestawienia:</w:t>
      </w:r>
    </w:p>
    <w:p w14:paraId="653EE58B" w14:textId="77777777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Woltomierz cyfrowy min. 2szt</w:t>
      </w:r>
    </w:p>
    <w:p w14:paraId="38F8F85D" w14:textId="0802238B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Amperomierz cyfrowy </w:t>
      </w:r>
      <w:r w:rsidR="00D84ECC">
        <w:rPr>
          <w:rFonts w:ascii="Century Gothic" w:hAnsi="Century Gothic"/>
          <w:sz w:val="20"/>
          <w:szCs w:val="20"/>
        </w:rPr>
        <w:t>w zakresie prądów</w:t>
      </w:r>
      <w:r w:rsidRPr="006F4E39">
        <w:rPr>
          <w:rFonts w:ascii="Century Gothic" w:hAnsi="Century Gothic"/>
          <w:sz w:val="20"/>
          <w:szCs w:val="20"/>
        </w:rPr>
        <w:t>min.2szt</w:t>
      </w:r>
    </w:p>
    <w:p w14:paraId="425CCCB8" w14:textId="77777777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Przenośne elektrody odniesienia min.2szt.</w:t>
      </w:r>
    </w:p>
    <w:p w14:paraId="7D268CE0" w14:textId="77777777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Miernik rezystancji uziemienia MRU z GPS – min.2szt.</w:t>
      </w:r>
    </w:p>
    <w:p w14:paraId="4AF76C01" w14:textId="77777777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Miernik parametrów instalacji elektrycznej MPI – min. 2szt</w:t>
      </w:r>
    </w:p>
    <w:p w14:paraId="10F73B4E" w14:textId="3FABD17C" w:rsidR="007A68B5" w:rsidRPr="006F4E39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Mikrowoltomierz analogowy</w:t>
      </w:r>
      <w:r w:rsidR="00ED3913">
        <w:rPr>
          <w:rFonts w:ascii="Century Gothic" w:hAnsi="Century Gothic"/>
          <w:sz w:val="20"/>
          <w:szCs w:val="20"/>
        </w:rPr>
        <w:t xml:space="preserve"> z wyjściem umożliwiającym podłączenie rejestratora</w:t>
      </w:r>
      <w:r w:rsidRPr="006F4E39">
        <w:rPr>
          <w:rFonts w:ascii="Century Gothic" w:hAnsi="Century Gothic"/>
          <w:sz w:val="20"/>
          <w:szCs w:val="20"/>
        </w:rPr>
        <w:t xml:space="preserve"> – min. 2szt</w:t>
      </w:r>
    </w:p>
    <w:p w14:paraId="77AAEA1C" w14:textId="5C9D57C5" w:rsidR="007A68B5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lastRenderedPageBreak/>
        <w:t xml:space="preserve">Rejestratory do rejestrowania parametrów (potencjały, napięcia, prądy) 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>– min. 2szt</w:t>
      </w:r>
    </w:p>
    <w:p w14:paraId="1B3D19F4" w14:textId="3D423CAB" w:rsidR="00ED3913" w:rsidRPr="00ED3913" w:rsidRDefault="00ED3913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ED3913">
        <w:rPr>
          <w:rFonts w:ascii="Century Gothic" w:hAnsi="Century Gothic"/>
          <w:sz w:val="20"/>
          <w:szCs w:val="20"/>
        </w:rPr>
        <w:t>Rejestratory do rejestrowania parametrów z synchronizowaną podstawą czasu (potencjały, napięcia, prądy) – min. 2szt</w:t>
      </w:r>
    </w:p>
    <w:p w14:paraId="72E43F03" w14:textId="21A8B751" w:rsidR="007A68B5" w:rsidRDefault="007A68B5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Miernik analogow</w:t>
      </w:r>
      <w:r w:rsidR="00ED3913">
        <w:rPr>
          <w:rFonts w:ascii="Century Gothic" w:hAnsi="Century Gothic"/>
          <w:sz w:val="20"/>
          <w:szCs w:val="20"/>
        </w:rPr>
        <w:t xml:space="preserve">y </w:t>
      </w:r>
      <w:r w:rsidRPr="006F4E39">
        <w:rPr>
          <w:rFonts w:ascii="Century Gothic" w:hAnsi="Century Gothic"/>
          <w:sz w:val="20"/>
          <w:szCs w:val="20"/>
        </w:rPr>
        <w:t xml:space="preserve">do wykonywania pomiarów DCVG+CIPS </w:t>
      </w:r>
      <w:r w:rsidR="00ED3913">
        <w:rPr>
          <w:rFonts w:ascii="Century Gothic" w:hAnsi="Century Gothic"/>
          <w:sz w:val="20"/>
          <w:szCs w:val="20"/>
        </w:rPr>
        <w:t xml:space="preserve"> wraz z budowanym zapisem współrzędnych GPS </w:t>
      </w:r>
      <w:r w:rsidRPr="006F4E39">
        <w:rPr>
          <w:rFonts w:ascii="Century Gothic" w:hAnsi="Century Gothic"/>
          <w:sz w:val="20"/>
          <w:szCs w:val="20"/>
        </w:rPr>
        <w:t>– min. 1szt</w:t>
      </w:r>
    </w:p>
    <w:p w14:paraId="608D745E" w14:textId="1FD24EB6" w:rsidR="00896527" w:rsidRPr="006F4E39" w:rsidRDefault="00896527" w:rsidP="007A68B5">
      <w:pPr>
        <w:pStyle w:val="Akapitzlist"/>
        <w:numPr>
          <w:ilvl w:val="0"/>
          <w:numId w:val="3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Wykaszarkę spalinową dla każdej  brygady pomiarowej</w:t>
      </w:r>
    </w:p>
    <w:p w14:paraId="39524642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Wymagania w zakresie personelu</w:t>
      </w:r>
    </w:p>
    <w:p w14:paraId="2FD36BF8" w14:textId="2619217F" w:rsidR="00ED3913" w:rsidRDefault="00ED3913" w:rsidP="007A68B5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bookmarkStart w:id="0" w:name="_Hlk100308411"/>
      <w:r>
        <w:rPr>
          <w:rFonts w:ascii="Century Gothic" w:hAnsi="Century Gothic"/>
          <w:sz w:val="20"/>
          <w:szCs w:val="20"/>
        </w:rPr>
        <w:t xml:space="preserve">Każda brygada pomiarowa powinna składać z minimum 2 osób. Przy czym każdy zespół powinien składać się z osób posiadających uprawnienia energetyczne </w:t>
      </w:r>
      <w:r w:rsidR="00FB4EBE">
        <w:rPr>
          <w:rFonts w:ascii="Century Gothic" w:hAnsi="Century Gothic"/>
          <w:sz w:val="20"/>
          <w:szCs w:val="20"/>
        </w:rPr>
        <w:t xml:space="preserve">gr 1 i gr 3 </w:t>
      </w:r>
      <w:r>
        <w:rPr>
          <w:rFonts w:ascii="Century Gothic" w:hAnsi="Century Gothic"/>
          <w:sz w:val="20"/>
          <w:szCs w:val="20"/>
        </w:rPr>
        <w:t>na stanowisku Dozoru i Eksploatacji</w:t>
      </w:r>
    </w:p>
    <w:p w14:paraId="245E28AC" w14:textId="542BCFE5" w:rsidR="007A68B5" w:rsidRPr="006F4E39" w:rsidRDefault="007A68B5" w:rsidP="007A68B5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1 – osoba posiadająca certyfikat</w:t>
      </w:r>
      <w:r>
        <w:rPr>
          <w:rFonts w:ascii="Century Gothic" w:hAnsi="Century Gothic"/>
          <w:sz w:val="20"/>
          <w:szCs w:val="20"/>
        </w:rPr>
        <w:t xml:space="preserve"> dla personelu odpowiedzialnego za ochronę katodową</w:t>
      </w:r>
      <w:r w:rsidRPr="006F4E39">
        <w:rPr>
          <w:rFonts w:ascii="Century Gothic" w:hAnsi="Century Gothic"/>
          <w:sz w:val="20"/>
          <w:szCs w:val="20"/>
        </w:rPr>
        <w:t xml:space="preserve"> na poziomie 4 według normy EN 15257:2017 lub równoważnej</w:t>
      </w:r>
    </w:p>
    <w:p w14:paraId="4B4B0807" w14:textId="6DEB0884" w:rsidR="007A68B5" w:rsidRPr="006F4E39" w:rsidRDefault="00ED3913" w:rsidP="007A68B5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bookmarkStart w:id="1" w:name="_Hlk100308842"/>
      <w:bookmarkEnd w:id="0"/>
      <w:r>
        <w:rPr>
          <w:rFonts w:ascii="Century Gothic" w:hAnsi="Century Gothic"/>
          <w:sz w:val="20"/>
          <w:szCs w:val="20"/>
        </w:rPr>
        <w:t>4</w:t>
      </w:r>
      <w:r w:rsidR="007A68B5" w:rsidRPr="006F4E39">
        <w:rPr>
          <w:rFonts w:ascii="Century Gothic" w:hAnsi="Century Gothic"/>
          <w:sz w:val="20"/>
          <w:szCs w:val="20"/>
        </w:rPr>
        <w:t xml:space="preserve"> – osoby posiadające certyfikat </w:t>
      </w:r>
      <w:r w:rsidR="007A68B5">
        <w:rPr>
          <w:rFonts w:ascii="Century Gothic" w:hAnsi="Century Gothic"/>
          <w:sz w:val="20"/>
          <w:szCs w:val="20"/>
        </w:rPr>
        <w:t xml:space="preserve">dla personelu odpowiedzialnego za ochronę katodowa </w:t>
      </w:r>
      <w:r w:rsidR="007A68B5" w:rsidRPr="006F4E39">
        <w:rPr>
          <w:rFonts w:ascii="Century Gothic" w:hAnsi="Century Gothic"/>
          <w:sz w:val="20"/>
          <w:szCs w:val="20"/>
        </w:rPr>
        <w:t>na poziomie 2 według normy EN 15257:2017 lub równoważnej</w:t>
      </w:r>
    </w:p>
    <w:bookmarkEnd w:id="1"/>
    <w:p w14:paraId="197EAE9D" w14:textId="22A4B474" w:rsidR="00517291" w:rsidRPr="00C93587" w:rsidRDefault="007A68B5" w:rsidP="00C93587">
      <w:pPr>
        <w:pStyle w:val="Akapitzlist"/>
        <w:numPr>
          <w:ilvl w:val="1"/>
          <w:numId w:val="1"/>
        </w:numPr>
        <w:spacing w:before="120" w:after="120"/>
      </w:pPr>
      <w:r w:rsidRPr="00C93587">
        <w:rPr>
          <w:rFonts w:ascii="Century Gothic" w:hAnsi="Century Gothic"/>
          <w:sz w:val="20"/>
          <w:szCs w:val="20"/>
        </w:rPr>
        <w:t xml:space="preserve">2 osoby posiadające uprawnienia na stanowisku eksploatacji gr. 1 </w:t>
      </w:r>
      <w:r w:rsidR="00C93587" w:rsidRPr="00C93587">
        <w:rPr>
          <w:rFonts w:ascii="Century Gothic" w:hAnsi="Century Gothic"/>
          <w:sz w:val="20"/>
          <w:szCs w:val="20"/>
        </w:rPr>
        <w:t xml:space="preserve"> oraz gr 3 </w:t>
      </w:r>
    </w:p>
    <w:p w14:paraId="09535B4D" w14:textId="6D696C56" w:rsidR="00C93587" w:rsidRPr="00AF0ED1" w:rsidRDefault="00C93587" w:rsidP="00C93587">
      <w:pPr>
        <w:pStyle w:val="Akapitzlist"/>
        <w:numPr>
          <w:ilvl w:val="1"/>
          <w:numId w:val="1"/>
        </w:numPr>
        <w:spacing w:before="120" w:after="120"/>
      </w:pPr>
      <w:r w:rsidRPr="00C93587">
        <w:rPr>
          <w:rFonts w:ascii="Century Gothic" w:hAnsi="Century Gothic"/>
          <w:sz w:val="20"/>
          <w:szCs w:val="20"/>
        </w:rPr>
        <w:t xml:space="preserve">2 osoby posiadające uprawnienia na stanowisku </w:t>
      </w:r>
      <w:r>
        <w:rPr>
          <w:rFonts w:ascii="Century Gothic" w:hAnsi="Century Gothic"/>
          <w:sz w:val="20"/>
          <w:szCs w:val="20"/>
        </w:rPr>
        <w:t>dozoru</w:t>
      </w:r>
      <w:r w:rsidRPr="00C93587">
        <w:rPr>
          <w:rFonts w:ascii="Century Gothic" w:hAnsi="Century Gothic"/>
          <w:sz w:val="20"/>
          <w:szCs w:val="20"/>
        </w:rPr>
        <w:t xml:space="preserve"> gr. 1  oraz gr 3 </w:t>
      </w:r>
    </w:p>
    <w:p w14:paraId="006E0F6A" w14:textId="74693590" w:rsidR="00AF0ED1" w:rsidRPr="00FB4EBE" w:rsidRDefault="00AF0ED1" w:rsidP="00C93587">
      <w:pPr>
        <w:pStyle w:val="Akapitzlist"/>
        <w:numPr>
          <w:ilvl w:val="1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>Zaświadczenie o odbyciu szkolenia z obsługi maszyn do pielęgnacji zielni w zakresie kos spalinowych – minimum 2 osoby</w:t>
      </w:r>
    </w:p>
    <w:p w14:paraId="0D14D7E5" w14:textId="77777777" w:rsidR="00FB4EBE" w:rsidRPr="00FB4EBE" w:rsidRDefault="00FB4EBE" w:rsidP="00C93587">
      <w:pPr>
        <w:pStyle w:val="Akapitzlist"/>
        <w:numPr>
          <w:ilvl w:val="1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>W zakresie uprawnień grupy 1 wymagane uprawnienia do:</w:t>
      </w:r>
    </w:p>
    <w:p w14:paraId="443CE86A" w14:textId="4BA75FEC" w:rsidR="00FB4EBE" w:rsidRPr="00FB4EBE" w:rsidRDefault="00FB4EBE" w:rsidP="00FB4EBE">
      <w:pPr>
        <w:pStyle w:val="Akapitzlist"/>
        <w:numPr>
          <w:ilvl w:val="2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 xml:space="preserve"> </w:t>
      </w:r>
      <w:r w:rsidRPr="00FB4EBE">
        <w:rPr>
          <w:rFonts w:ascii="Century Gothic" w:hAnsi="Century Gothic"/>
          <w:sz w:val="20"/>
          <w:szCs w:val="20"/>
        </w:rPr>
        <w:t>urządzenia, instalacje i sieci elektroenergetyczne o napięciu nie wyższym niż 1 kV;</w:t>
      </w:r>
    </w:p>
    <w:p w14:paraId="6F17CDD4" w14:textId="76DC4994" w:rsidR="00FB4EBE" w:rsidRPr="00FB4EBE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FB4EBE">
        <w:rPr>
          <w:rFonts w:ascii="Century Gothic" w:hAnsi="Century Gothic"/>
          <w:sz w:val="20"/>
          <w:szCs w:val="20"/>
        </w:rPr>
        <w:t>elektryczne urządzenia w wykonaniu przeciwwybuchowym</w:t>
      </w:r>
    </w:p>
    <w:p w14:paraId="7BFFB151" w14:textId="231B75AE" w:rsidR="00FB4EBE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FB4EBE">
        <w:rPr>
          <w:rFonts w:ascii="Century Gothic" w:hAnsi="Century Gothic"/>
          <w:sz w:val="20"/>
          <w:szCs w:val="20"/>
        </w:rPr>
        <w:t>aparatura kontrolno-pomiarowa oraz urządzenia i instalacje automatycznej regulacji; sterowania i zabezpieczeń urządzeń i instalacji wymienionych wyżej;</w:t>
      </w:r>
    </w:p>
    <w:p w14:paraId="6F7E5DA3" w14:textId="3AC26528" w:rsidR="00FF6374" w:rsidRDefault="00FF6374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zakresie montażu, obsługi, remontu, kontrolno-pomiarowym</w:t>
      </w:r>
    </w:p>
    <w:p w14:paraId="38351E93" w14:textId="5D6DB742" w:rsidR="00FF6374" w:rsidRPr="00FB4EBE" w:rsidRDefault="00FF6374" w:rsidP="00FF6374">
      <w:pPr>
        <w:pStyle w:val="Akapitzlist"/>
        <w:numPr>
          <w:ilvl w:val="1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>W zakresie uprawnień grupy 3 wymagane uprawnienia do:</w:t>
      </w:r>
    </w:p>
    <w:p w14:paraId="68E2BE8C" w14:textId="1F8A1A6F" w:rsidR="00FF6374" w:rsidRPr="00FB4EBE" w:rsidRDefault="00FF6374" w:rsidP="00FF6374">
      <w:pPr>
        <w:pStyle w:val="Akapitzlist"/>
        <w:numPr>
          <w:ilvl w:val="2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 xml:space="preserve"> </w:t>
      </w:r>
      <w:r w:rsidRPr="00FF6374">
        <w:rPr>
          <w:rFonts w:ascii="Century Gothic" w:hAnsi="Century Gothic"/>
          <w:sz w:val="20"/>
          <w:szCs w:val="20"/>
        </w:rPr>
        <w:t>sieci gazowe przesyłowe o ciśnieniu powyżej 0,5 MPa (gazociągi, stacje gazowe, tłocznie gazu);</w:t>
      </w:r>
    </w:p>
    <w:p w14:paraId="2FC9384B" w14:textId="29BB56F1" w:rsidR="00FF6374" w:rsidRDefault="00FF6374" w:rsidP="00FF6374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zakresie obsługi</w:t>
      </w:r>
    </w:p>
    <w:p w14:paraId="4EAF8B3E" w14:textId="77777777" w:rsidR="00FF6374" w:rsidRPr="00FB4EBE" w:rsidRDefault="00FF6374" w:rsidP="00FF6374">
      <w:pPr>
        <w:pStyle w:val="Akapitzlist"/>
        <w:spacing w:before="120" w:after="120"/>
        <w:ind w:left="2160"/>
        <w:rPr>
          <w:rFonts w:ascii="Century Gothic" w:hAnsi="Century Gothic"/>
          <w:sz w:val="20"/>
          <w:szCs w:val="20"/>
        </w:rPr>
      </w:pPr>
    </w:p>
    <w:p w14:paraId="0D2B8443" w14:textId="3597EFF2" w:rsidR="00FB4EBE" w:rsidRPr="00FB4EBE" w:rsidRDefault="00FB4EBE" w:rsidP="00FB4EBE">
      <w:pPr>
        <w:pStyle w:val="Akapitzlist"/>
        <w:numPr>
          <w:ilvl w:val="0"/>
          <w:numId w:val="1"/>
        </w:numPr>
        <w:spacing w:before="120" w:after="120"/>
        <w:rPr>
          <w:rFonts w:ascii="Century Gothic" w:hAnsi="Century Gothic"/>
          <w:b/>
          <w:bCs/>
          <w:sz w:val="20"/>
          <w:szCs w:val="20"/>
        </w:rPr>
      </w:pPr>
      <w:r w:rsidRPr="00FB4EBE">
        <w:rPr>
          <w:rFonts w:ascii="Century Gothic" w:hAnsi="Century Gothic"/>
          <w:b/>
          <w:bCs/>
          <w:sz w:val="20"/>
          <w:szCs w:val="20"/>
        </w:rPr>
        <w:t>Na każdym etapie realizacji Zamawiający może wezwać Wykonawcę do okazania posiadanego wykazu części zamiennych i materiałów wymaganych przez OPZ w celu zabezpieczenia ciągłości ochrony katodowej gazociągów oraz realizacji umowy. W przypadku braku wymaganych urządzeń obowiązują zapisy § 9 Kary umowne</w:t>
      </w:r>
    </w:p>
    <w:p w14:paraId="23AB9A83" w14:textId="30F01D8C" w:rsidR="00C93587" w:rsidRDefault="00C93587" w:rsidP="00C93587">
      <w:pPr>
        <w:pStyle w:val="Akapitzlist"/>
        <w:spacing w:before="120" w:after="120"/>
        <w:ind w:left="1440"/>
      </w:pPr>
    </w:p>
    <w:p w14:paraId="06AA5BC1" w14:textId="77777777" w:rsidR="00FB4EBE" w:rsidRDefault="00FB4EBE" w:rsidP="00C93587">
      <w:pPr>
        <w:pStyle w:val="Akapitzlist"/>
        <w:spacing w:before="120" w:after="120"/>
        <w:ind w:left="1440"/>
      </w:pPr>
    </w:p>
    <w:sectPr w:rsidR="00FB4E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B599" w14:textId="77777777" w:rsidR="00E50634" w:rsidRDefault="001B6EF4">
      <w:pPr>
        <w:spacing w:after="0" w:line="240" w:lineRule="auto"/>
      </w:pPr>
      <w:r>
        <w:separator/>
      </w:r>
    </w:p>
  </w:endnote>
  <w:endnote w:type="continuationSeparator" w:id="0">
    <w:p w14:paraId="65ADAE48" w14:textId="77777777" w:rsidR="00E50634" w:rsidRDefault="001B6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009C" w14:textId="77777777" w:rsidR="00E50634" w:rsidRDefault="001B6EF4">
      <w:pPr>
        <w:spacing w:after="0" w:line="240" w:lineRule="auto"/>
      </w:pPr>
      <w:r>
        <w:separator/>
      </w:r>
    </w:p>
  </w:footnote>
  <w:footnote w:type="continuationSeparator" w:id="0">
    <w:p w14:paraId="05B6799B" w14:textId="77777777" w:rsidR="00E50634" w:rsidRDefault="001B6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D5D5" w14:textId="77777777" w:rsidR="00AE2464" w:rsidRDefault="00AF0ED1" w:rsidP="00AE246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7932"/>
    <w:multiLevelType w:val="hybridMultilevel"/>
    <w:tmpl w:val="275E8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1D2B"/>
    <w:multiLevelType w:val="hybridMultilevel"/>
    <w:tmpl w:val="65A025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B96DA1"/>
    <w:multiLevelType w:val="hybridMultilevel"/>
    <w:tmpl w:val="22CA0C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3475554">
    <w:abstractNumId w:val="0"/>
  </w:num>
  <w:num w:numId="2" w16cid:durableId="1358120553">
    <w:abstractNumId w:val="1"/>
  </w:num>
  <w:num w:numId="3" w16cid:durableId="1877694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B7"/>
    <w:rsid w:val="001B6EF4"/>
    <w:rsid w:val="00517291"/>
    <w:rsid w:val="007A68B5"/>
    <w:rsid w:val="00896527"/>
    <w:rsid w:val="009A1E74"/>
    <w:rsid w:val="00A975F7"/>
    <w:rsid w:val="00AF0ED1"/>
    <w:rsid w:val="00C93587"/>
    <w:rsid w:val="00CC56F7"/>
    <w:rsid w:val="00D84ECC"/>
    <w:rsid w:val="00E50634"/>
    <w:rsid w:val="00ED3913"/>
    <w:rsid w:val="00FB4EBE"/>
    <w:rsid w:val="00FD37B7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5F10AE"/>
  <w15:chartTrackingRefBased/>
  <w15:docId w15:val="{2FB2B49D-7F08-46E6-A559-8D2C1B4F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8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8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Gazda Michał</cp:lastModifiedBy>
  <cp:revision>9</cp:revision>
  <dcterms:created xsi:type="dcterms:W3CDTF">2023-05-02T12:16:00Z</dcterms:created>
  <dcterms:modified xsi:type="dcterms:W3CDTF">2023-06-22T06:54:00Z</dcterms:modified>
</cp:coreProperties>
</file>